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Multi-Column Layout Document</w:t>
      </w:r>
    </w:p>
    <w:p>
      <w:r>
        <w:t>This document demonstrates multi-column layouts with section breaks. It switches between single-column and two-column formatting to test how document processors handle column rendering, section break detection, and layout fidelity during conversion.</w:t>
      </w:r>
    </w:p>
    <w:p/>
    <w:p>
      <w:pPr>
        <w:pStyle w:val="Heading1"/>
      </w:pPr>
      <w:r>
        <w:t>Part 1: Two-Column Newsletter Layout</w:t>
      </w:r>
    </w:p>
    <w:p>
      <w:r>
        <w:t>The following content is formatted in two columns, simulating a newsletter or magazine-style layout:</w:t>
      </w:r>
    </w:p>
    <w:p>
      <w:pPr>
        <w:sectPr>
          <w:footerReference w:type="default" r:id="rId9"/>
          <w:pgSz w:w="12240" w:h="15840"/>
          <w:pgMar w:top="1440" w:right="1800" w:bottom="1440" w:left="1800" w:header="720" w:footer="720" w:gutter="0"/>
          <w:cols w:space="720"/>
          <w:docGrid w:linePitch="360"/>
        </w:sectPr>
      </w:pPr>
    </w:p>
    <w:p>
      <w:pPr>
        <w:pStyle w:val="Heading2"/>
      </w:pPr>
      <w:r>
        <w:t>The Rise of Remote Work</w:t>
      </w:r>
    </w:p>
    <w:p>
      <w:r>
        <w:t>The global shift to remote work has transformed how organizations operate, communicate, and manage talent. What began as an emergency response to unprecedented circumstances has evolved into a permanent feature of the modern workplace.</w:t>
      </w:r>
    </w:p>
    <w:p>
      <w:r>
        <w:t>Companies across industries have discovered that remote work can increase productivity, reduce overhead costs, and expand access to talent pools beyond geographic boundaries. Employees, meanwhile, have embraced the flexibility that remote work provides, including the elimination of commuting time and the ability to design their own work environments.</w:t>
      </w:r>
    </w:p>
    <w:p>
      <w:r>
        <w:t>However, the transition has not been without challenges. Maintaining team cohesion, ensuring effective communication, and preventing burnout in always-connected environments remain significant concerns for both managers and employees.</w:t>
      </w:r>
    </w:p>
    <w:p>
      <w:pPr>
        <w:pStyle w:val="Heading2"/>
      </w:pPr>
      <w:r>
        <w:t>Technology Trends for 2025</w:t>
      </w:r>
    </w:p>
    <w:p>
      <w:r>
        <w:t>The technology landscape continues to evolve at an accelerating pace. Artificial intelligence has moved beyond experimental applications into mainstream business tools, with large language models powering everything from customer service chatbots to code generation assistants.</w:t>
      </w:r>
    </w:p>
    <w:p>
      <w:r>
        <w:t>Edge computing is gaining momentum as organizations seek to process data closer to its source, reducing latency and bandwidth requirements. The convergence of 5G networks and edge infrastructure is enabling new categories of applications, from autonomous vehicles to augmented reality experiences.</w:t>
      </w:r>
    </w:p>
    <w:p>
      <w:r>
        <w:t>Sustainability has become a priority in technology strategy. Companies are measuring and reducing the carbon footprint of their digital infrastructure, investing in energy-efficient data centers, and developing software that minimizes resource consumption.</w:t>
      </w:r>
    </w:p>
    <w:p>
      <w:pPr>
        <w:pStyle w:val="Heading2"/>
      </w:pPr>
      <w:r>
        <w:t>Cybersecurity Challenges</w:t>
      </w:r>
    </w:p>
    <w:p>
      <w:r>
        <w:t>As organizations expand their digital footprint, the attack surface for cybersecurity threats grows correspondingly. Ransomware attacks have become more sophisticated, targeting critical infrastructure and demanding increasingly large payments. Supply chain attacks exploit trust relationships between organizations and their technology vendors.</w:t>
      </w:r>
    </w:p>
    <w:p>
      <w:r>
        <w:t>The cybersecurity industry is responding with zero-trust architectures that verify every access request regardless of origin, advanced threat detection powered by machine learning, and automated incident response systems that can contain breaches within minutes of detection.</w:t>
      </w:r>
    </w:p>
    <w:p>
      <w:pPr>
        <w:sectPr>
          <w:type w:val="continuous"/>
          <w:pgSz w:w="12240" w:h="15840"/>
          <w:pgMar w:top="1440" w:right="1800" w:bottom="1440" w:left="1800" w:header="720" w:footer="720" w:gutter="0"/>
          <w:cols w:space="360000" w:num="2"/>
          <w:docGrid w:linePitch="360"/>
        </w:sectPr>
      </w:pPr>
    </w:p>
    <w:p>
      <w:pPr>
        <w:pStyle w:val="Heading1"/>
      </w:pPr>
      <w:r>
        <w:t>Part 2: Single-Column Technical Content</w:t>
      </w:r>
    </w:p>
    <w:p>
      <w:r>
        <w:t>This section returns to a single-column layout for technical content that benefits from full-width formatting:</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Technology</w:t>
            </w:r>
          </w:p>
        </w:tc>
        <w:tc>
          <w:tcPr>
            <w:tcW w:type="dxa" w:w="2160"/>
          </w:tcPr>
          <w:p>
            <w:r>
              <w:t>Category</w:t>
            </w:r>
          </w:p>
        </w:tc>
        <w:tc>
          <w:tcPr>
            <w:tcW w:type="dxa" w:w="2160"/>
          </w:tcPr>
          <w:p>
            <w:r>
              <w:t>Adoption Rate</w:t>
            </w:r>
          </w:p>
        </w:tc>
        <w:tc>
          <w:tcPr>
            <w:tcW w:type="dxa" w:w="2160"/>
          </w:tcPr>
          <w:p>
            <w:r>
              <w:t>Growth (YoY)</w:t>
            </w:r>
          </w:p>
        </w:tc>
      </w:tr>
      <w:tr>
        <w:tc>
          <w:tcPr>
            <w:tcW w:type="dxa" w:w="2160"/>
          </w:tcPr>
          <w:p>
            <w:r>
              <w:t>AI/ML Platforms</w:t>
            </w:r>
          </w:p>
        </w:tc>
        <w:tc>
          <w:tcPr>
            <w:tcW w:type="dxa" w:w="2160"/>
          </w:tcPr>
          <w:p>
            <w:r>
              <w:t>Software</w:t>
            </w:r>
          </w:p>
        </w:tc>
        <w:tc>
          <w:tcPr>
            <w:tcW w:type="dxa" w:w="2160"/>
          </w:tcPr>
          <w:p>
            <w:r>
              <w:t>78%</w:t>
            </w:r>
          </w:p>
        </w:tc>
        <w:tc>
          <w:tcPr>
            <w:tcW w:type="dxa" w:w="2160"/>
          </w:tcPr>
          <w:p>
            <w:r>
              <w:t>+24%</w:t>
            </w:r>
          </w:p>
        </w:tc>
      </w:tr>
      <w:tr>
        <w:tc>
          <w:tcPr>
            <w:tcW w:type="dxa" w:w="2160"/>
          </w:tcPr>
          <w:p>
            <w:r>
              <w:t>Edge Computing</w:t>
            </w:r>
          </w:p>
        </w:tc>
        <w:tc>
          <w:tcPr>
            <w:tcW w:type="dxa" w:w="2160"/>
          </w:tcPr>
          <w:p>
            <w:r>
              <w:t>Infrastructure</w:t>
            </w:r>
          </w:p>
        </w:tc>
        <w:tc>
          <w:tcPr>
            <w:tcW w:type="dxa" w:w="2160"/>
          </w:tcPr>
          <w:p>
            <w:r>
              <w:t>42%</w:t>
            </w:r>
          </w:p>
        </w:tc>
        <w:tc>
          <w:tcPr>
            <w:tcW w:type="dxa" w:w="2160"/>
          </w:tcPr>
          <w:p>
            <w:r>
              <w:t>+38%</w:t>
            </w:r>
          </w:p>
        </w:tc>
      </w:tr>
      <w:tr>
        <w:tc>
          <w:tcPr>
            <w:tcW w:type="dxa" w:w="2160"/>
          </w:tcPr>
          <w:p>
            <w:r>
              <w:t>Zero Trust Security</w:t>
            </w:r>
          </w:p>
        </w:tc>
        <w:tc>
          <w:tcPr>
            <w:tcW w:type="dxa" w:w="2160"/>
          </w:tcPr>
          <w:p>
            <w:r>
              <w:t>Security</w:t>
            </w:r>
          </w:p>
        </w:tc>
        <w:tc>
          <w:tcPr>
            <w:tcW w:type="dxa" w:w="2160"/>
          </w:tcPr>
          <w:p>
            <w:r>
              <w:t>56%</w:t>
            </w:r>
          </w:p>
        </w:tc>
        <w:tc>
          <w:tcPr>
            <w:tcW w:type="dxa" w:w="2160"/>
          </w:tcPr>
          <w:p>
            <w:r>
              <w:t>+31%</w:t>
            </w:r>
          </w:p>
        </w:tc>
      </w:tr>
      <w:tr>
        <w:tc>
          <w:tcPr>
            <w:tcW w:type="dxa" w:w="2160"/>
          </w:tcPr>
          <w:p>
            <w:r>
              <w:t>Kubernetes</w:t>
            </w:r>
          </w:p>
        </w:tc>
        <w:tc>
          <w:tcPr>
            <w:tcW w:type="dxa" w:w="2160"/>
          </w:tcPr>
          <w:p>
            <w:r>
              <w:t>DevOps</w:t>
            </w:r>
          </w:p>
        </w:tc>
        <w:tc>
          <w:tcPr>
            <w:tcW w:type="dxa" w:w="2160"/>
          </w:tcPr>
          <w:p>
            <w:r>
              <w:t>84%</w:t>
            </w:r>
          </w:p>
        </w:tc>
        <w:tc>
          <w:tcPr>
            <w:tcW w:type="dxa" w:w="2160"/>
          </w:tcPr>
          <w:p>
            <w:r>
              <w:t>+15%</w:t>
            </w:r>
          </w:p>
        </w:tc>
      </w:tr>
      <w:tr>
        <w:tc>
          <w:tcPr>
            <w:tcW w:type="dxa" w:w="2160"/>
          </w:tcPr>
          <w:p>
            <w:r>
              <w:t>Low-Code Platforms</w:t>
            </w:r>
          </w:p>
        </w:tc>
        <w:tc>
          <w:tcPr>
            <w:tcW w:type="dxa" w:w="2160"/>
          </w:tcPr>
          <w:p>
            <w:r>
              <w:t>Development</w:t>
            </w:r>
          </w:p>
        </w:tc>
        <w:tc>
          <w:tcPr>
            <w:tcW w:type="dxa" w:w="2160"/>
          </w:tcPr>
          <w:p>
            <w:r>
              <w:t>63%</w:t>
            </w:r>
          </w:p>
        </w:tc>
        <w:tc>
          <w:tcPr>
            <w:tcW w:type="dxa" w:w="2160"/>
          </w:tcPr>
          <w:p>
            <w:r>
              <w:t>+29%</w:t>
            </w:r>
          </w:p>
        </w:tc>
      </w:tr>
      <w:tr>
        <w:tc>
          <w:tcPr>
            <w:tcW w:type="dxa" w:w="2160"/>
          </w:tcPr>
          <w:p>
            <w:r>
              <w:t>5G Networks</w:t>
            </w:r>
          </w:p>
        </w:tc>
        <w:tc>
          <w:tcPr>
            <w:tcW w:type="dxa" w:w="2160"/>
          </w:tcPr>
          <w:p>
            <w:r>
              <w:t>Connectivity</w:t>
            </w:r>
          </w:p>
        </w:tc>
        <w:tc>
          <w:tcPr>
            <w:tcW w:type="dxa" w:w="2160"/>
          </w:tcPr>
          <w:p>
            <w:r>
              <w:t>45%</w:t>
            </w:r>
          </w:p>
        </w:tc>
        <w:tc>
          <w:tcPr>
            <w:tcW w:type="dxa" w:w="2160"/>
          </w:tcPr>
          <w:p>
            <w:r>
              <w:t>+52%</w:t>
            </w:r>
          </w:p>
        </w:tc>
      </w:tr>
      <w:tr>
        <w:tc>
          <w:tcPr>
            <w:tcW w:type="dxa" w:w="2160"/>
          </w:tcPr>
          <w:p>
            <w:r>
              <w:t>Digital Twins</w:t>
            </w:r>
          </w:p>
        </w:tc>
        <w:tc>
          <w:tcPr>
            <w:tcW w:type="dxa" w:w="2160"/>
          </w:tcPr>
          <w:p>
            <w:r>
              <w:t>IoT</w:t>
            </w:r>
          </w:p>
        </w:tc>
        <w:tc>
          <w:tcPr>
            <w:tcW w:type="dxa" w:w="2160"/>
          </w:tcPr>
          <w:p>
            <w:r>
              <w:t>28%</w:t>
            </w:r>
          </w:p>
        </w:tc>
        <w:tc>
          <w:tcPr>
            <w:tcW w:type="dxa" w:w="2160"/>
          </w:tcPr>
          <w:p>
            <w:r>
              <w:t>+44%</w:t>
            </w:r>
          </w:p>
        </w:tc>
      </w:tr>
    </w:tbl>
    <w:p/>
    <w:p>
      <w:r>
        <w:t>The table above shows adoption rates and growth trends for key technology categories. These figures are sample data provided for document testing purposes.</w:t>
      </w:r>
    </w:p>
    <w:p>
      <w:r>
        <w:br w:type="page"/>
      </w:r>
    </w:p>
    <w:p>
      <w:pPr>
        <w:sectPr>
          <w:type w:val="continuous"/>
          <w:pgSz w:w="12240" w:h="15840"/>
          <w:pgMar w:top="1440" w:right="1800" w:bottom="1440" w:left="1800" w:header="720" w:footer="720" w:gutter="0"/>
          <w:cols w:space="360000" w:num="1"/>
          <w:docGrid w:linePitch="360"/>
        </w:sectPr>
      </w:pPr>
    </w:p>
    <w:p>
      <w:pPr>
        <w:pStyle w:val="Heading1"/>
      </w:pPr>
      <w:r>
        <w:t>Part 3: Two-Column Reference</w:t>
      </w:r>
    </w:p>
    <w:p>
      <w:pPr>
        <w:pStyle w:val="Heading2"/>
      </w:pPr>
      <w:r>
        <w:t>Programming Quick Tips</w:t>
      </w:r>
    </w:p>
    <w:p>
      <w:r>
        <w:t>Use version control for every project, no matter how small. Git provides a safety net that lets you experiment freely, knowing you can always return to a working state.</w:t>
      </w:r>
    </w:p>
    <w:p>
      <w:r>
        <w:t>Write tests before fixing bugs. A failing test that reproduces the bug ensures the fix actually works and prevents the same bug from recurring in the future.</w:t>
      </w:r>
    </w:p>
    <w:p>
      <w:r>
        <w:t>Refactor continuously in small increments rather than planning large-scale rewrites. Small, focused improvements compound over time and carry much less risk than big-bang refactoring efforts.</w:t>
      </w:r>
    </w:p>
    <w:p>
      <w:pPr>
        <w:pStyle w:val="Heading2"/>
      </w:pPr>
      <w:r>
        <w:t>Documentation Best Practices</w:t>
      </w:r>
    </w:p>
    <w:p>
      <w:r>
        <w:t>Write documentation as you code, not after. The context and reasoning behind design decisions fade quickly from memory. Capturing them in real-time produces more accurate and useful documentation.</w:t>
      </w:r>
    </w:p>
    <w:p>
      <w:r>
        <w:t>Use code examples liberally. Developers learn fastest by reading working code. Abstract explanations are useful for context, but concrete examples drive understanding and adoption.</w:t>
      </w:r>
    </w:p>
    <w:p>
      <w:r>
        <w:t>Keep API documentation close to the code it describes. Tools like Swagger, JSDoc, and Sphinx generate documentation from annotated source code, ensuring that documentation and implementation stay synchronized.</w:t>
      </w:r>
    </w:p>
    <w:p>
      <w:pPr>
        <w:sectPr>
          <w:type w:val="continuous"/>
          <w:pgSz w:w="12240" w:h="15840"/>
          <w:pgMar w:top="1440" w:right="1800" w:bottom="1440" w:left="1800" w:header="720" w:footer="720" w:gutter="0"/>
          <w:cols w:space="360000" w:num="2"/>
          <w:docGrid w:linePitch="360"/>
        </w:sectPr>
      </w:pPr>
    </w:p>
    <w:p/>
    <w:p>
      <w:r>
        <w:t>This document contains four section breaks alternating between single-column and two-column layouts. Document processing tools should detect each section break and render the appropriate number of columns for each section.</w:t>
      </w:r>
    </w:p>
    <w:sectPr w:rsidR="00FC693F" w:rsidRPr="0006063C" w:rsidSect="00034616">
      <w:type w:val="continuous"/>
      <w:pgSz w:w="12240" w:h="15840"/>
      <w:pgMar w:top="1440" w:right="1800" w:bottom="1440" w:left="1800" w:header="720" w:footer="720" w:gutter="0"/>
      <w:cols w:space="36000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This sample DOCX file is provided by Sample-Files.com. Visit us for more sample files and resource.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color w:val="888888"/>
      <w:sz w:val="16"/>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